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08" w:rsidRPr="00811B52" w:rsidRDefault="00811B52" w:rsidP="00811B52">
      <w:pPr>
        <w:bidi/>
        <w:spacing w:after="0" w:line="405" w:lineRule="atLeast"/>
        <w:outlineLvl w:val="7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Tahoma" w:eastAsia="Times New Roman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            </w:t>
      </w:r>
      <w:r w:rsidRPr="00811B52">
        <w:rPr>
          <w:rFonts w:ascii="Tahoma" w:eastAsia="Times New Roman" w:hAnsi="Tahoma" w:cs="Tahoma"/>
          <w:b/>
          <w:bCs/>
          <w:color w:val="FF0000"/>
          <w:sz w:val="28"/>
          <w:szCs w:val="28"/>
          <w:rtl/>
          <w:lang w:bidi="fa-IR"/>
        </w:rPr>
        <w:t>شرح وظایف</w:t>
      </w:r>
      <w:r w:rsidR="002B2808" w:rsidRPr="00811B52">
        <w:rPr>
          <w:rFonts w:ascii="Tahoma" w:eastAsia="Times New Roman" w:hAnsi="Tahoma" w:cs="Tahoma"/>
          <w:b/>
          <w:bCs/>
          <w:color w:val="FF0000"/>
          <w:sz w:val="28"/>
          <w:szCs w:val="28"/>
          <w:rtl/>
        </w:rPr>
        <w:t xml:space="preserve"> کارشناس سلامت سالمندان</w:t>
      </w:r>
    </w:p>
    <w:p w:rsidR="00A43840" w:rsidRPr="002B2808" w:rsidRDefault="00A43840" w:rsidP="00A43840">
      <w:pPr>
        <w:bidi/>
        <w:spacing w:after="0" w:line="405" w:lineRule="atLeast"/>
        <w:jc w:val="center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</w:p>
    <w:p w:rsidR="00811B52" w:rsidRPr="00811B52" w:rsidRDefault="002B2808" w:rsidP="00811B52">
      <w:pPr>
        <w:pStyle w:val="ListParagraph"/>
        <w:numPr>
          <w:ilvl w:val="0"/>
          <w:numId w:val="1"/>
        </w:numPr>
        <w:bidi/>
        <w:spacing w:after="0" w:line="405" w:lineRule="atLeast"/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</w:pPr>
      <w:r w:rsidRPr="00811B52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جمع آوری ، دسته بندی و تجزیه و تحلیل اطلاعات و آمارهای مربوط در زمینه بهداشت سالمندان</w:t>
      </w:r>
      <w:bookmarkStart w:id="0" w:name="_GoBack"/>
      <w:bookmarkEnd w:id="0"/>
    </w:p>
    <w:p w:rsidR="002B2808" w:rsidRPr="002B2808" w:rsidRDefault="002B2808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۲)</w:t>
      </w:r>
      <w:r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</w:t>
      </w:r>
      <w:r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محاسبه شاخص های برنامه سالمندان ، تجزیه و تحلیل و ارسال به شهرستانهای تحت پوشش</w:t>
      </w:r>
    </w:p>
    <w:p w:rsidR="002B2808" w:rsidRPr="002B2808" w:rsidRDefault="002B2808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۳)</w:t>
      </w:r>
      <w:r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</w:t>
      </w:r>
      <w:r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تهیه برنامه بازدید و پایش از شهرستانهای تحت پوشش ، اجرا در زمان مقرر و ارسال پس خوراند</w:t>
      </w:r>
    </w:p>
    <w:p w:rsidR="002B2808" w:rsidRPr="002B2808" w:rsidRDefault="002B2808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۴)</w:t>
      </w:r>
      <w:r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</w:t>
      </w:r>
      <w:r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پایش و ارزشیابی برنامه های اجرایی استان و گزارش نارساییها و تنگناها</w:t>
      </w:r>
    </w:p>
    <w:p w:rsidR="002B2808" w:rsidRPr="002B2808" w:rsidRDefault="00811B52" w:rsidP="00A43840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5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تدوین دستورالعملهای اجرایی و مشارکت در تدوین استانداردها و مقررات بهداشتی و تغذیه ای به منظور مراقبت از سلامت جسمی ، روانی و اجتماعی سالمندان</w:t>
      </w:r>
    </w:p>
    <w:p w:rsidR="002B2808" w:rsidRPr="002B2808" w:rsidRDefault="00A43840" w:rsidP="00A43840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6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تلاش و پیگیری در جلب مشارکت و هماهنگی های متقابل درون و برون بخشی لازم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7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پیشنهاد و مشارکت در برنامه ریزی و اجرای برنامه ها و کارگاه های آموزش  مستمر کارکنان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8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تهیه گزارش عملکرد آموزشی و غیرآموزشی برنامه و ارسال به اداره سالمندان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9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نظارت بر آموزش استاندارد شیوه زندگی سالم در دوران سالمندی و ثبت و گزارش دهی آن از طریق نرم افزار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10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نظارت بر اجرای بسته جدید مراقبت های نوین سالمندان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11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تلاش و پیگیری در جهت هر چه بهتر برگزار شدن بزرگداشت هفته سالمند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12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نظارت بر درخواست و توزیع مکملهای موردنیاز سالمندان</w:t>
      </w:r>
    </w:p>
    <w:p w:rsidR="002B2808" w:rsidRPr="002B2808" w:rsidRDefault="00A43840" w:rsidP="002B2808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13</w:t>
      </w:r>
      <w:r w:rsidR="002B2808"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="002B2808"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="002B2808"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پیگیری و توزیع اعتبارات برنامه</w:t>
      </w:r>
    </w:p>
    <w:p w:rsidR="002B2808" w:rsidRPr="002B2808" w:rsidRDefault="002B2808" w:rsidP="00A43840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۱</w:t>
      </w:r>
      <w:r w:rsidR="00A43840">
        <w:rPr>
          <w:rFonts w:ascii="iransans" w:eastAsia="Times New Roman" w:hAnsi="iransans" w:cs="Times New Roman" w:hint="cs"/>
          <w:color w:val="333333"/>
          <w:sz w:val="28"/>
          <w:szCs w:val="28"/>
          <w:rtl/>
          <w:lang w:bidi="fa-IR"/>
        </w:rPr>
        <w:t>4</w:t>
      </w:r>
      <w:r w:rsidRPr="002B2808">
        <w:rPr>
          <w:rFonts w:ascii="iransans" w:eastAsia="Times New Roman" w:hAnsi="iransans" w:cs="Times New Roman"/>
          <w:color w:val="333333"/>
          <w:sz w:val="28"/>
          <w:szCs w:val="28"/>
          <w:rtl/>
          <w:lang w:bidi="fa-IR"/>
        </w:rPr>
        <w:t>)</w:t>
      </w:r>
      <w:r w:rsidRPr="002B280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Pr="002B2808">
        <w:rPr>
          <w:rFonts w:ascii="B Mitra" w:eastAsia="Times New Roman" w:hAnsi="B Mitra" w:cs="Times New Roman"/>
          <w:color w:val="333333"/>
          <w:sz w:val="28"/>
          <w:szCs w:val="28"/>
          <w:rtl/>
          <w:lang w:bidi="fa-IR"/>
        </w:rPr>
        <w:t>همکاری با سایر مدیریتها و گروهها به منظور بهبود و ارتقاء شاخص ها</w:t>
      </w:r>
    </w:p>
    <w:p w:rsidR="002B2808" w:rsidRPr="002B2808" w:rsidRDefault="002B2808" w:rsidP="00A43840">
      <w:pPr>
        <w:bidi/>
        <w:spacing w:after="0" w:line="405" w:lineRule="atLeast"/>
        <w:ind w:hanging="360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</w:p>
    <w:p w:rsidR="00A3125A" w:rsidRPr="00A43840" w:rsidRDefault="00A3125A" w:rsidP="00A43840">
      <w:pPr>
        <w:bidi/>
        <w:spacing w:after="0" w:line="240" w:lineRule="auto"/>
        <w:rPr>
          <w:rFonts w:ascii="iransans" w:eastAsia="Times New Roman" w:hAnsi="iransans" w:cs="Times New Roman"/>
          <w:color w:val="888888"/>
          <w:sz w:val="20"/>
          <w:szCs w:val="20"/>
        </w:rPr>
      </w:pPr>
    </w:p>
    <w:sectPr w:rsidR="00A3125A" w:rsidRPr="00A4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D71"/>
    <w:multiLevelType w:val="hybridMultilevel"/>
    <w:tmpl w:val="72885572"/>
    <w:lvl w:ilvl="0" w:tplc="06D2E700">
      <w:start w:val="1"/>
      <w:numFmt w:val="decimalFullWidth"/>
      <w:lvlText w:val="%1)"/>
      <w:lvlJc w:val="left"/>
      <w:pPr>
        <w:ind w:left="165" w:hanging="525"/>
      </w:pPr>
      <w:rPr>
        <w:rFonts w:ascii="iransans" w:hAnsi="iransans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08"/>
    <w:rsid w:val="002B2808"/>
    <w:rsid w:val="00811B52"/>
    <w:rsid w:val="00A3125A"/>
    <w:rsid w:val="00A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A7B5"/>
  <w15:chartTrackingRefBased/>
  <w15:docId w15:val="{7E0190AD-FB95-4D42-86EF-5BC677C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02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1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Genave-Leili</dc:creator>
  <cp:keywords/>
  <dc:description/>
  <cp:lastModifiedBy>Genave-Leili</cp:lastModifiedBy>
  <cp:revision>4</cp:revision>
  <dcterms:created xsi:type="dcterms:W3CDTF">2022-09-26T05:44:00Z</dcterms:created>
  <dcterms:modified xsi:type="dcterms:W3CDTF">2022-09-26T06:29:00Z</dcterms:modified>
</cp:coreProperties>
</file>